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19" w:rsidRDefault="007A7F19" w:rsidP="007A7F19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7A7F19" w:rsidRDefault="007A7F19" w:rsidP="007A7F19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история форштадта</w:t>
      </w:r>
    </w:p>
    <w:p w:rsidR="007A7F19" w:rsidRDefault="007A7F19" w:rsidP="007A7F19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  <w:u w:val="single"/>
        </w:rPr>
      </w:pPr>
      <w:r>
        <w:rPr>
          <w:b/>
          <w:i/>
          <w:color w:val="323E4F" w:themeColor="text2" w:themeShade="BF"/>
          <w:sz w:val="24"/>
          <w:szCs w:val="24"/>
          <w:u w:val="single"/>
        </w:rPr>
        <w:t xml:space="preserve">Источник публикации: </w:t>
      </w:r>
    </w:p>
    <w:p w:rsidR="007A7F19" w:rsidRPr="00FC28B1" w:rsidRDefault="007A7F19" w:rsidP="007A7F19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</w:rPr>
      </w:pPr>
      <w:r>
        <w:rPr>
          <w:b/>
          <w:i/>
          <w:color w:val="323E4F" w:themeColor="text2" w:themeShade="BF"/>
          <w:sz w:val="24"/>
          <w:szCs w:val="24"/>
        </w:rPr>
        <w:t>ВАШКЕВИЧ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>,</w:t>
      </w:r>
      <w:r>
        <w:rPr>
          <w:b/>
          <w:i/>
          <w:color w:val="323E4F" w:themeColor="text2" w:themeShade="BF"/>
          <w:sz w:val="24"/>
          <w:szCs w:val="24"/>
        </w:rPr>
        <w:t xml:space="preserve"> А.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История Форштадта </w:t>
      </w:r>
      <w:r>
        <w:rPr>
          <w:b/>
          <w:i/>
          <w:color w:val="323E4F" w:themeColor="text2" w:themeShade="BF"/>
          <w:sz w:val="24"/>
          <w:szCs w:val="24"/>
        </w:rPr>
        <w:t>/</w:t>
      </w:r>
      <w:r>
        <w:rPr>
          <w:b/>
          <w:i/>
          <w:color w:val="323E4F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323E4F" w:themeColor="text2" w:themeShade="BF"/>
          <w:sz w:val="24"/>
          <w:szCs w:val="24"/>
        </w:rPr>
        <w:t xml:space="preserve">Андрей ВАШКЕВИЧ, Андрей ЧЕРНЯКЕВИЧ // Вечерний Гродно. – </w:t>
      </w:r>
      <w:r w:rsidRPr="006E60A0">
        <w:rPr>
          <w:b/>
          <w:i/>
          <w:color w:val="323E4F" w:themeColor="text2" w:themeShade="BF"/>
          <w:sz w:val="24"/>
          <w:szCs w:val="24"/>
        </w:rPr>
        <w:t xml:space="preserve">2012. -  </w:t>
      </w:r>
      <w:r w:rsidR="006E60A0" w:rsidRPr="006E60A0">
        <w:rPr>
          <w:b/>
          <w:i/>
          <w:color w:val="323E4F" w:themeColor="text2" w:themeShade="BF"/>
          <w:sz w:val="24"/>
          <w:szCs w:val="24"/>
        </w:rPr>
        <w:t xml:space="preserve">3 окт. </w:t>
      </w:r>
      <w:r w:rsidRPr="006E60A0">
        <w:rPr>
          <w:b/>
          <w:i/>
          <w:color w:val="323E4F" w:themeColor="text2" w:themeShade="BF"/>
          <w:sz w:val="24"/>
          <w:szCs w:val="24"/>
        </w:rPr>
        <w:t xml:space="preserve"> (№</w:t>
      </w:r>
      <w:r w:rsidR="006E60A0" w:rsidRPr="006E60A0">
        <w:rPr>
          <w:b/>
          <w:i/>
          <w:color w:val="323E4F" w:themeColor="text2" w:themeShade="BF"/>
          <w:sz w:val="24"/>
          <w:szCs w:val="24"/>
        </w:rPr>
        <w:t>4</w:t>
      </w:r>
      <w:r w:rsidRPr="006E60A0">
        <w:rPr>
          <w:b/>
          <w:i/>
          <w:color w:val="323E4F" w:themeColor="text2" w:themeShade="BF"/>
          <w:sz w:val="24"/>
          <w:szCs w:val="24"/>
        </w:rPr>
        <w:t xml:space="preserve">0). – С. </w:t>
      </w:r>
      <w:r w:rsidR="006E60A0" w:rsidRPr="006E60A0">
        <w:rPr>
          <w:b/>
          <w:i/>
          <w:color w:val="323E4F" w:themeColor="text2" w:themeShade="BF"/>
          <w:sz w:val="24"/>
          <w:szCs w:val="24"/>
        </w:rPr>
        <w:t>2</w:t>
      </w:r>
      <w:r w:rsidRPr="006E60A0">
        <w:rPr>
          <w:b/>
          <w:i/>
          <w:color w:val="323E4F" w:themeColor="text2" w:themeShade="BF"/>
          <w:sz w:val="24"/>
          <w:szCs w:val="24"/>
        </w:rPr>
        <w:t>8</w:t>
      </w:r>
      <w:bookmarkStart w:id="0" w:name="_GoBack"/>
      <w:bookmarkEnd w:id="0"/>
      <w:r w:rsidRPr="006E60A0">
        <w:rPr>
          <w:b/>
          <w:i/>
          <w:color w:val="323E4F" w:themeColor="text2" w:themeShade="BF"/>
          <w:sz w:val="24"/>
          <w:szCs w:val="24"/>
        </w:rPr>
        <w:t>.</w:t>
      </w:r>
      <w:r w:rsidR="004D7CFD" w:rsidRPr="004D7CF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D2ECD" w:rsidRPr="007A7F19" w:rsidRDefault="00BD2ECD" w:rsidP="007A7F19">
      <w:pPr>
        <w:spacing w:before="240" w:after="0" w:line="240" w:lineRule="auto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7A7F19">
        <w:rPr>
          <w:rFonts w:ascii="Calibri" w:eastAsia="Times New Roman" w:hAnsi="Calibri" w:cs="Helvetica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195580</wp:posOffset>
            </wp:positionV>
            <wp:extent cx="3346450" cy="2453640"/>
            <wp:effectExtent l="95250" t="76200" r="101600" b="80010"/>
            <wp:wrapTight wrapText="bothSides">
              <wp:wrapPolygon edited="0">
                <wp:start x="-615" y="-671"/>
                <wp:lineTo x="-615" y="22304"/>
                <wp:lineTo x="22010" y="22304"/>
                <wp:lineTo x="22133" y="22304"/>
                <wp:lineTo x="22256" y="21130"/>
                <wp:lineTo x="22256" y="1677"/>
                <wp:lineTo x="22133" y="-335"/>
                <wp:lineTo x="22010" y="-671"/>
                <wp:lineTo x="-615" y="-671"/>
              </wp:wrapPolygon>
            </wp:wrapTight>
            <wp:docPr id="1" name="Рисунок 1" descr="http://www.vgr.by/images/stories/2012/40/istot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2/40/istot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453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A7F19">
        <w:rPr>
          <w:rFonts w:ascii="Calibri" w:eastAsia="Times New Roman" w:hAnsi="Calibri" w:cs="Helvetica"/>
          <w:b/>
          <w:bCs/>
          <w:color w:val="000000"/>
          <w:sz w:val="24"/>
          <w:szCs w:val="24"/>
          <w:lang w:eastAsia="ru-RU"/>
        </w:rPr>
        <w:t>Мы как-то уже свыклись с мыслью, что все самые значительные, интересные события в истории Гродно связаны с его правобережной частью, тогда как на левом, противоположном берегу Немана кроме Францисканского костела и посмотреть особенно не на что. Но на самом деле это вовсе не так!</w:t>
      </w:r>
    </w:p>
    <w:p w:rsidR="007A7F19" w:rsidRDefault="00BD2ECD" w:rsidP="007A7F19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Само название «Форштадт» встречается не только в Гродно. Оно обозначает поселение (от немецкого Vorstadt — поселение, находящееся вне города или крепости, предместье). В документах само занеманское предместье неоднократно упоминается как деревня З</w:t>
      </w:r>
      <w:r w:rsid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анемонье-Понемонье или Рыловцы.</w:t>
      </w:r>
    </w:p>
    <w:p w:rsidR="007A7F19" w:rsidRDefault="00BD2ECD" w:rsidP="007A7F19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 xml:space="preserve">Землей тут </w:t>
      </w:r>
      <w:r w:rsid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владели Огинские, Потоцкие, Ра</w:t>
      </w: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дзивиллы, сам город и городская экономия. И только уже позже, с началом возведения фортов гродненской крепости, за этой частью города закрепляется название «лево</w:t>
      </w:r>
      <w:r w:rsid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бережный Форштадт»…</w:t>
      </w:r>
    </w:p>
    <w:p w:rsidR="007A7F19" w:rsidRDefault="00BD2ECD" w:rsidP="007A7F19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 xml:space="preserve">Собственно, заселение левого берега Немана, который составлял часть так называемого занеманского посада, началось еще в Средневековье, когда совсем рядом проходила граница с ятвягами. Вероятно, тут еще в 1392 году, в помощь </w:t>
      </w:r>
      <w:r w:rsidR="007A7F19"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осажденному</w:t>
      </w: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 xml:space="preserve"> гарнизону на противоположном берегу, князем Витовтом был построен новый замок. После крестоносцы возвели здесь Naugarden — «Новый Гродно», который тот же Витовт позже и сжег. Отсюда в 1508 году из резиденции Яна Заберезинского начинался мятеж Глинского, едва не изменивший ход истории Великого княжества Литовского!</w:t>
      </w: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br/>
        <w:t>Здесь, на левом берегу, нашел спасение Пётр I, уводя свою армию от поражения. А уже зимой 1796 года, во время работы прусско-русской демаркационной комиссии, Форштадт едва не стал частью Пруссии, которая потребовала уступить ее левый берег вплоть до реки Свислочь. В конце концов немцы уступили, но в специальном мемориале указали, что делают это «в знак глубокого уважения к российской императрице». Ответ российской стороны был категоричным: «Прусский король не может отказаться от предместья, у него и так нет на него права»! </w:t>
      </w:r>
    </w:p>
    <w:p w:rsidR="00C75AB9" w:rsidRDefault="00BD2ECD" w:rsidP="007A7F19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Основная планировка этой части города была заложена еще во время волочного измерения, в центре ее находился рынок. Кроме него, левобережная часть Гродно первоначально состояла из шести улиц: Горницкой, «мостовой дороги», Новодворской, Адельской, Кузницкой и Лабенской. Рядом с последней находился великокняжеский Зверинец — теперь часть набережной ниже Францисканского костела в сторону порта. Кроме того, вдоль Немана шла Рабеевская у</w:t>
      </w:r>
      <w:r w:rsidR="00C75AB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лица.</w:t>
      </w:r>
    </w:p>
    <w:p w:rsidR="00C75AB9" w:rsidRDefault="00BD2ECD" w:rsidP="007A7F19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 xml:space="preserve">Вплоть до Второй мировой большинство населения гродненского Форштадта составляли евреи. Еще около 1760 года Бейсом Хохесасом тут была построена знаменитая деревянная синагога на Форштадте под «ломаной» крышей в несколько ярусов и </w:t>
      </w: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lastRenderedPageBreak/>
        <w:t>башенками с четырехскатными куполами. Она находилась на высоком плато на сегодняшней улице Дар</w:t>
      </w:r>
      <w:r w:rsidR="00C75AB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вина и сгорела летом 1941 года.</w:t>
      </w:r>
    </w:p>
    <w:p w:rsidR="00C35364" w:rsidRPr="006E60A0" w:rsidRDefault="00BD2ECD" w:rsidP="006E60A0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</w:pPr>
      <w:r w:rsidRPr="007A7F19">
        <w:rPr>
          <w:rFonts w:ascii="Calibri" w:eastAsia="Times New Roman" w:hAnsi="Calibri" w:cs="Helvetica"/>
          <w:color w:val="000000"/>
          <w:sz w:val="24"/>
          <w:szCs w:val="24"/>
          <w:lang w:eastAsia="ru-RU"/>
        </w:rPr>
        <w:t>Хотя Форштадт сильно пострадал во время последних войн, здесь сохранилось гораздо больше исторических памятников, чем это может показаться на первый взгляд. К сожалению, ни одна часть бывшего левобережного посада не входит формально в границы исторического центра Гродно и не находится под охраной.</w:t>
      </w:r>
    </w:p>
    <w:sectPr w:rsidR="00C35364" w:rsidRPr="006E60A0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D2ECD"/>
    <w:rsid w:val="004B269F"/>
    <w:rsid w:val="004D7CFD"/>
    <w:rsid w:val="005F2B43"/>
    <w:rsid w:val="006E60A0"/>
    <w:rsid w:val="007A7F19"/>
    <w:rsid w:val="00A072FC"/>
    <w:rsid w:val="00B74A7F"/>
    <w:rsid w:val="00BD2ECD"/>
    <w:rsid w:val="00C35364"/>
    <w:rsid w:val="00C75AB9"/>
    <w:rsid w:val="00D3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BD2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2E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2ECD"/>
    <w:rPr>
      <w:b/>
      <w:bCs/>
    </w:rPr>
  </w:style>
  <w:style w:type="character" w:customStyle="1" w:styleId="apple-converted-space">
    <w:name w:val="apple-converted-space"/>
    <w:basedOn w:val="a0"/>
    <w:rsid w:val="00BD2ECD"/>
  </w:style>
  <w:style w:type="paragraph" w:styleId="a6">
    <w:name w:val="Balloon Text"/>
    <w:basedOn w:val="a"/>
    <w:link w:val="a7"/>
    <w:uiPriority w:val="99"/>
    <w:semiHidden/>
    <w:unhideWhenUsed/>
    <w:rsid w:val="00BD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2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2015-01-13T12:43:00Z</dcterms:created>
  <dcterms:modified xsi:type="dcterms:W3CDTF">2015-03-26T05:55:00Z</dcterms:modified>
</cp:coreProperties>
</file>